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E8" w:rsidRDefault="007B3EE8" w:rsidP="007B3EE8">
      <w:pPr>
        <w:pStyle w:val="Listenabsatz"/>
        <w:tabs>
          <w:tab w:val="left" w:pos="0"/>
          <w:tab w:val="left" w:pos="851"/>
          <w:tab w:val="left" w:pos="1167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69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Information</w:t>
      </w:r>
      <w:r>
        <w:rPr>
          <w:sz w:val="22"/>
          <w:szCs w:val="22"/>
        </w:rPr>
        <w:t xml:space="preserve"> zur bisherigen 10jährigen Aufbewahrungszeit von Einverständniserklärungen: Einverständniserklärungen können nach der Anonymisierung der entsprechenden Daten vernichtet werden. Die gilt für die an der Universität Potsdam durch ihre Ethikkommission begutachteten Forschungsvorhaben. </w:t>
      </w:r>
    </w:p>
    <w:p w:rsidR="007B3EE8" w:rsidRDefault="007B3EE8" w:rsidP="007B3EE8">
      <w:pPr>
        <w:pStyle w:val="Listenabsatz"/>
        <w:tabs>
          <w:tab w:val="left" w:pos="0"/>
          <w:tab w:val="left" w:pos="851"/>
          <w:tab w:val="left" w:pos="1167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69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0"/>
        <w:jc w:val="both"/>
        <w:rPr>
          <w:sz w:val="22"/>
          <w:szCs w:val="22"/>
        </w:rPr>
      </w:pPr>
    </w:p>
    <w:p w:rsidR="007B3EE8" w:rsidRDefault="007B3EE8" w:rsidP="007B3EE8">
      <w:pPr>
        <w:pStyle w:val="Listenabsatz"/>
        <w:tabs>
          <w:tab w:val="left" w:pos="0"/>
          <w:tab w:val="left" w:pos="851"/>
          <w:tab w:val="left" w:pos="1167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69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7B3EE8">
        <w:rPr>
          <w:sz w:val="22"/>
          <w:szCs w:val="22"/>
        </w:rPr>
        <w:t xml:space="preserve">ine Vernichtung mit Anonymisierung der Daten </w:t>
      </w:r>
      <w:r w:rsidRPr="007B3EE8">
        <w:rPr>
          <w:sz w:val="22"/>
          <w:szCs w:val="22"/>
        </w:rPr>
        <w:t>ist</w:t>
      </w:r>
      <w:r w:rsidRPr="007B3EE8">
        <w:rPr>
          <w:sz w:val="22"/>
          <w:szCs w:val="22"/>
        </w:rPr>
        <w:t xml:space="preserve"> dann nicht möglich, wenn über das Dezernat 4 </w:t>
      </w:r>
      <w:r>
        <w:rPr>
          <w:sz w:val="22"/>
          <w:szCs w:val="22"/>
        </w:rPr>
        <w:t xml:space="preserve">(Haushalt) </w:t>
      </w:r>
      <w:r w:rsidRPr="007B3EE8">
        <w:rPr>
          <w:sz w:val="22"/>
          <w:szCs w:val="22"/>
        </w:rPr>
        <w:t>Probandenvergütungen ausgezahlt werden. In diesem Fall wäre nach wie vor eine Aufbewahrung für die Dauer von 10 Jahren erforderlich, was der Speicherdauer der Buchungsunterlagen/Kontodaten im D4 entspricht.</w:t>
      </w:r>
    </w:p>
    <w:p w:rsidR="007B3EE8" w:rsidRDefault="007B3EE8" w:rsidP="007B3EE8">
      <w:pPr>
        <w:pStyle w:val="Listenabsatz"/>
        <w:tabs>
          <w:tab w:val="left" w:pos="0"/>
          <w:tab w:val="left" w:pos="851"/>
          <w:tab w:val="left" w:pos="1167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69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0"/>
        <w:jc w:val="both"/>
        <w:rPr>
          <w:sz w:val="22"/>
          <w:szCs w:val="22"/>
        </w:rPr>
      </w:pPr>
    </w:p>
    <w:p w:rsidR="00933EA0" w:rsidRDefault="00933EA0">
      <w:bookmarkStart w:id="0" w:name="_GoBack"/>
      <w:bookmarkEnd w:id="0"/>
    </w:p>
    <w:sectPr w:rsidR="00933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F4831"/>
    <w:multiLevelType w:val="hybridMultilevel"/>
    <w:tmpl w:val="CA2A2E6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E8"/>
    <w:rsid w:val="007B3EE8"/>
    <w:rsid w:val="009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4A21"/>
  <w15:chartTrackingRefBased/>
  <w15:docId w15:val="{629DF9CB-C74F-40FC-B625-7EA650BA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3EE8"/>
    <w:pPr>
      <w:widowControl w:val="0"/>
      <w:spacing w:after="0" w:line="240" w:lineRule="auto"/>
      <w:ind w:left="720"/>
      <w:contextualSpacing/>
    </w:pPr>
    <w:rPr>
      <w:rFonts w:ascii="Times" w:eastAsia="Times" w:hAnsi="Times" w:cs="Times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Mohaupt, Nadine</dc:creator>
  <cp:keywords/>
  <dc:description/>
  <cp:lastModifiedBy>Mohaupt, Nadine</cp:lastModifiedBy>
  <cp:revision>1</cp:revision>
  <dcterms:created xsi:type="dcterms:W3CDTF">2024-12-19T09:38:00Z</dcterms:created>
  <dcterms:modified xsi:type="dcterms:W3CDTF">2024-12-19T09:40:00Z</dcterms:modified>
</cp:coreProperties>
</file>