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CC" w:rsidRDefault="000644CC"/>
    <w:p w:rsidR="00C908F9" w:rsidRDefault="00C908F9"/>
    <w:p w:rsidR="00C908F9" w:rsidRDefault="00C908F9"/>
    <w:p w:rsidR="00EA42C2" w:rsidRDefault="00EA42C2" w:rsidP="00EA42C2">
      <w:pPr>
        <w:spacing w:line="520" w:lineRule="atLeast"/>
        <w:jc w:val="center"/>
        <w:rPr>
          <w:b/>
          <w:bCs/>
          <w:sz w:val="36"/>
        </w:rPr>
      </w:pPr>
      <w:r>
        <w:rPr>
          <w:b/>
          <w:bCs/>
          <w:sz w:val="36"/>
        </w:rPr>
        <w:t>Zum Begriff des</w:t>
      </w:r>
      <w:r w:rsidR="00C908F9">
        <w:rPr>
          <w:b/>
          <w:bCs/>
          <w:sz w:val="36"/>
        </w:rPr>
        <w:t xml:space="preserve"> Anwartschaftsrecht</w:t>
      </w:r>
      <w:r>
        <w:rPr>
          <w:b/>
          <w:bCs/>
          <w:sz w:val="36"/>
        </w:rPr>
        <w:t>s</w:t>
      </w:r>
      <w:r w:rsidR="00C908F9">
        <w:rPr>
          <w:b/>
          <w:bCs/>
          <w:sz w:val="36"/>
        </w:rPr>
        <w:t xml:space="preserve"> des Käufers</w:t>
      </w:r>
      <w:r>
        <w:rPr>
          <w:b/>
          <w:bCs/>
          <w:sz w:val="36"/>
        </w:rPr>
        <w:t xml:space="preserve"> </w:t>
      </w:r>
    </w:p>
    <w:p w:rsidR="00EA42C2" w:rsidRDefault="00EA42C2" w:rsidP="00EA42C2">
      <w:pPr>
        <w:spacing w:line="520" w:lineRule="atLeast"/>
        <w:jc w:val="center"/>
        <w:rPr>
          <w:b/>
          <w:bCs/>
          <w:sz w:val="36"/>
        </w:rPr>
      </w:pPr>
      <w:r>
        <w:rPr>
          <w:b/>
          <w:bCs/>
          <w:sz w:val="36"/>
        </w:rPr>
        <w:t>beim Erwerb unter Eigentumsvorbehalt</w:t>
      </w:r>
    </w:p>
    <w:p w:rsidR="00C908F9" w:rsidRDefault="00C908F9" w:rsidP="00C908F9">
      <w:pPr>
        <w:spacing w:line="520" w:lineRule="atLeast"/>
        <w:rPr>
          <w:sz w:val="36"/>
        </w:rPr>
      </w:pPr>
    </w:p>
    <w:p w:rsidR="002A64A3" w:rsidRDefault="002A64A3" w:rsidP="00C908F9">
      <w:pPr>
        <w:spacing w:line="520" w:lineRule="atLeast"/>
        <w:rPr>
          <w:sz w:val="36"/>
        </w:rPr>
      </w:pPr>
      <w:bookmarkStart w:id="0" w:name="_GoBack"/>
      <w:bookmarkEnd w:id="0"/>
    </w:p>
    <w:p w:rsidR="00EA42C2" w:rsidRDefault="00EA42C2" w:rsidP="00C908F9">
      <w:pPr>
        <w:spacing w:line="520" w:lineRule="atLeast"/>
        <w:rPr>
          <w:sz w:val="36"/>
        </w:rPr>
      </w:pPr>
      <w:r>
        <w:rPr>
          <w:sz w:val="36"/>
        </w:rPr>
        <w:t xml:space="preserve">Ein </w:t>
      </w:r>
      <w:r w:rsidR="00C908F9">
        <w:rPr>
          <w:sz w:val="36"/>
        </w:rPr>
        <w:t xml:space="preserve">Anwartschaftsrecht </w:t>
      </w:r>
      <w:r>
        <w:rPr>
          <w:sz w:val="36"/>
        </w:rPr>
        <w:t>liegt vor</w:t>
      </w:r>
      <w:r w:rsidR="00C908F9">
        <w:rPr>
          <w:sz w:val="36"/>
        </w:rPr>
        <w:t xml:space="preserve">, </w:t>
      </w:r>
      <w:r>
        <w:rPr>
          <w:sz w:val="36"/>
        </w:rPr>
        <w:t xml:space="preserve">wenn </w:t>
      </w:r>
      <w:r w:rsidR="00C908F9">
        <w:rPr>
          <w:sz w:val="36"/>
        </w:rPr>
        <w:t>von einem mehrteil</w:t>
      </w:r>
      <w:r w:rsidR="00C908F9">
        <w:rPr>
          <w:sz w:val="36"/>
        </w:rPr>
        <w:t>i</w:t>
      </w:r>
      <w:r w:rsidR="00C908F9">
        <w:rPr>
          <w:sz w:val="36"/>
        </w:rPr>
        <w:t>gen E</w:t>
      </w:r>
      <w:r w:rsidR="00C908F9">
        <w:rPr>
          <w:sz w:val="36"/>
        </w:rPr>
        <w:t>r</w:t>
      </w:r>
      <w:r w:rsidR="00C908F9">
        <w:rPr>
          <w:sz w:val="36"/>
        </w:rPr>
        <w:t xml:space="preserve">werbstatbestand schon so viele Tatbestandsmerkmale erfüllt sind, dass </w:t>
      </w:r>
      <w:proofErr w:type="gramStart"/>
      <w:r w:rsidR="00C908F9">
        <w:rPr>
          <w:sz w:val="36"/>
        </w:rPr>
        <w:t>der Veräußerer</w:t>
      </w:r>
      <w:proofErr w:type="gramEnd"/>
      <w:r w:rsidR="00C908F9">
        <w:rPr>
          <w:sz w:val="36"/>
        </w:rPr>
        <w:t xml:space="preserve"> den Erwerb nicht mehr </w:t>
      </w:r>
      <w:r>
        <w:rPr>
          <w:sz w:val="36"/>
        </w:rPr>
        <w:t>ve</w:t>
      </w:r>
      <w:r>
        <w:rPr>
          <w:sz w:val="36"/>
        </w:rPr>
        <w:t>r</w:t>
      </w:r>
      <w:r>
        <w:rPr>
          <w:sz w:val="36"/>
        </w:rPr>
        <w:t xml:space="preserve">hindern </w:t>
      </w:r>
      <w:r w:rsidR="00C908F9">
        <w:rPr>
          <w:sz w:val="36"/>
        </w:rPr>
        <w:t>kann.</w:t>
      </w:r>
      <w:r>
        <w:rPr>
          <w:sz w:val="36"/>
        </w:rPr>
        <w:t xml:space="preserve"> </w:t>
      </w:r>
      <w:r w:rsidR="00C908F9">
        <w:rPr>
          <w:sz w:val="36"/>
        </w:rPr>
        <w:t>Das Anwartschaftsrecht gibt also dem Erwerber bereits eine gesicherte Rechts- und E</w:t>
      </w:r>
      <w:r w:rsidR="00C908F9">
        <w:rPr>
          <w:sz w:val="36"/>
        </w:rPr>
        <w:t>r</w:t>
      </w:r>
      <w:r w:rsidR="00C908F9">
        <w:rPr>
          <w:sz w:val="36"/>
        </w:rPr>
        <w:t xml:space="preserve">werbsposition, die ihm nicht mehr gegen seinen Willen genommen werden kann. </w:t>
      </w:r>
    </w:p>
    <w:p w:rsidR="00EA42C2" w:rsidRDefault="00EA42C2" w:rsidP="00C908F9">
      <w:pPr>
        <w:spacing w:line="520" w:lineRule="atLeast"/>
        <w:rPr>
          <w:sz w:val="36"/>
        </w:rPr>
      </w:pPr>
    </w:p>
    <w:p w:rsidR="00EA42C2" w:rsidRDefault="00EA42C2" w:rsidP="00C908F9">
      <w:pPr>
        <w:spacing w:line="520" w:lineRule="atLeast"/>
        <w:rPr>
          <w:sz w:val="36"/>
        </w:rPr>
      </w:pPr>
      <w:r>
        <w:rPr>
          <w:sz w:val="36"/>
        </w:rPr>
        <w:t>S</w:t>
      </w:r>
      <w:r w:rsidR="00C908F9">
        <w:rPr>
          <w:sz w:val="36"/>
        </w:rPr>
        <w:t>o liegt es auch beim Eigentumsvorbehalt.</w:t>
      </w:r>
      <w:r>
        <w:rPr>
          <w:sz w:val="36"/>
        </w:rPr>
        <w:t xml:space="preserve"> </w:t>
      </w:r>
      <w:r w:rsidR="00C908F9">
        <w:rPr>
          <w:sz w:val="36"/>
        </w:rPr>
        <w:t xml:space="preserve">Der </w:t>
      </w:r>
      <w:r>
        <w:rPr>
          <w:sz w:val="36"/>
        </w:rPr>
        <w:t xml:space="preserve">Einigung über den Eigentumsübergang ist </w:t>
      </w:r>
      <w:r>
        <w:rPr>
          <w:sz w:val="36"/>
        </w:rPr>
        <w:t>ja schon rechtsgeschäftlich bi</w:t>
      </w:r>
      <w:r>
        <w:rPr>
          <w:sz w:val="36"/>
        </w:rPr>
        <w:t>n</w:t>
      </w:r>
      <w:r>
        <w:rPr>
          <w:sz w:val="36"/>
        </w:rPr>
        <w:t>dend e</w:t>
      </w:r>
      <w:r>
        <w:rPr>
          <w:sz w:val="36"/>
        </w:rPr>
        <w:t>r</w:t>
      </w:r>
      <w:r>
        <w:rPr>
          <w:sz w:val="36"/>
        </w:rPr>
        <w:t>klärt</w:t>
      </w:r>
      <w:r>
        <w:rPr>
          <w:sz w:val="36"/>
        </w:rPr>
        <w:t xml:space="preserve">, und auch die Übergabe (§ 929 Satz 1 BGB) oder ein Übergabesurrogat liegen vor. Die Parteien können sich von dem Übereignungsvertrag nicht mehr einseitig lossagen. </w:t>
      </w:r>
      <w:r w:rsidR="00626005">
        <w:rPr>
          <w:sz w:val="36"/>
        </w:rPr>
        <w:t>Nur die Rechtswirkung, nämlich der Eigentumsübergang auf den Käufer und Erwerber</w:t>
      </w:r>
      <w:r w:rsidR="002A64A3">
        <w:rPr>
          <w:sz w:val="36"/>
        </w:rPr>
        <w:t>,</w:t>
      </w:r>
      <w:r w:rsidR="00626005">
        <w:rPr>
          <w:sz w:val="36"/>
        </w:rPr>
        <w:t xml:space="preserve"> ist bis zum Eintritt der Bedingung au</w:t>
      </w:r>
      <w:r w:rsidR="00626005">
        <w:rPr>
          <w:sz w:val="36"/>
        </w:rPr>
        <w:t>f</w:t>
      </w:r>
      <w:r w:rsidR="00626005">
        <w:rPr>
          <w:sz w:val="36"/>
        </w:rPr>
        <w:t>geschoben (§ 158 Abs. 1 BGB), das heißt bis zur vollständ</w:t>
      </w:r>
      <w:r w:rsidR="00626005">
        <w:rPr>
          <w:sz w:val="36"/>
        </w:rPr>
        <w:t>i</w:t>
      </w:r>
      <w:r w:rsidR="00626005">
        <w:rPr>
          <w:sz w:val="36"/>
        </w:rPr>
        <w:t xml:space="preserve">gen Zahlung des </w:t>
      </w:r>
      <w:r w:rsidR="00626005" w:rsidRPr="00626005">
        <w:rPr>
          <w:sz w:val="36"/>
        </w:rPr>
        <w:t>Kaufpreis</w:t>
      </w:r>
      <w:r w:rsidR="00626005">
        <w:rPr>
          <w:sz w:val="36"/>
        </w:rPr>
        <w:t xml:space="preserve">es (§ 449 Abs. 1 BGB). Das liegt ganz in der Macht des </w:t>
      </w:r>
      <w:r w:rsidR="00626005" w:rsidRPr="00626005">
        <w:rPr>
          <w:sz w:val="36"/>
        </w:rPr>
        <w:t>Käufer</w:t>
      </w:r>
      <w:r w:rsidR="00626005">
        <w:rPr>
          <w:sz w:val="36"/>
        </w:rPr>
        <w:t xml:space="preserve">s und kann vom </w:t>
      </w:r>
      <w:r w:rsidR="00626005" w:rsidRPr="00626005">
        <w:rPr>
          <w:sz w:val="36"/>
        </w:rPr>
        <w:t>Verkäufer</w:t>
      </w:r>
      <w:r w:rsidR="00626005">
        <w:rPr>
          <w:sz w:val="36"/>
        </w:rPr>
        <w:t xml:space="preserve"> nicht verhindert werden. </w:t>
      </w:r>
    </w:p>
    <w:p w:rsidR="00EA42C2" w:rsidRDefault="00EA42C2" w:rsidP="00C908F9">
      <w:pPr>
        <w:spacing w:line="520" w:lineRule="atLeast"/>
        <w:rPr>
          <w:sz w:val="36"/>
        </w:rPr>
      </w:pPr>
    </w:p>
    <w:sectPr w:rsidR="00EA42C2" w:rsidSect="007D2A1F">
      <w:footerReference w:type="default" r:id="rId7"/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F89" w:rsidRDefault="006C1F89" w:rsidP="00EA42C2">
      <w:pPr>
        <w:spacing w:line="240" w:lineRule="auto"/>
      </w:pPr>
      <w:r>
        <w:separator/>
      </w:r>
    </w:p>
  </w:endnote>
  <w:endnote w:type="continuationSeparator" w:id="0">
    <w:p w:rsidR="006C1F89" w:rsidRDefault="006C1F89" w:rsidP="00EA4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2C2" w:rsidRPr="00EA42C2" w:rsidRDefault="00EA42C2" w:rsidP="00EA42C2">
    <w:pPr>
      <w:pStyle w:val="Fuzeile"/>
      <w:jc w:val="right"/>
      <w:rPr>
        <w:sz w:val="20"/>
        <w:szCs w:val="20"/>
      </w:rPr>
    </w:pPr>
    <w:proofErr w:type="spellStart"/>
    <w:r w:rsidRPr="00EA42C2">
      <w:rPr>
        <w:sz w:val="20"/>
        <w:szCs w:val="20"/>
      </w:rPr>
      <w:t>KS_EV_Anwartschaftsrecht_Begriff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F89" w:rsidRDefault="006C1F89" w:rsidP="00EA42C2">
      <w:pPr>
        <w:spacing w:line="240" w:lineRule="auto"/>
      </w:pPr>
      <w:r>
        <w:separator/>
      </w:r>
    </w:p>
  </w:footnote>
  <w:footnote w:type="continuationSeparator" w:id="0">
    <w:p w:rsidR="006C1F89" w:rsidRDefault="006C1F89" w:rsidP="00EA42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9"/>
    <w:rsid w:val="00011818"/>
    <w:rsid w:val="0001425E"/>
    <w:rsid w:val="00032411"/>
    <w:rsid w:val="000433E3"/>
    <w:rsid w:val="00043E03"/>
    <w:rsid w:val="000610ED"/>
    <w:rsid w:val="00061569"/>
    <w:rsid w:val="0006260F"/>
    <w:rsid w:val="000640D3"/>
    <w:rsid w:val="000644CC"/>
    <w:rsid w:val="00065481"/>
    <w:rsid w:val="0006601E"/>
    <w:rsid w:val="00071815"/>
    <w:rsid w:val="00071C8C"/>
    <w:rsid w:val="000724E0"/>
    <w:rsid w:val="0008049D"/>
    <w:rsid w:val="000828DE"/>
    <w:rsid w:val="00082B2B"/>
    <w:rsid w:val="00084F47"/>
    <w:rsid w:val="0008637A"/>
    <w:rsid w:val="000872B1"/>
    <w:rsid w:val="00087D22"/>
    <w:rsid w:val="000A04D9"/>
    <w:rsid w:val="000A13DB"/>
    <w:rsid w:val="000A29E9"/>
    <w:rsid w:val="000A6600"/>
    <w:rsid w:val="000A711A"/>
    <w:rsid w:val="000A786B"/>
    <w:rsid w:val="000B1D6A"/>
    <w:rsid w:val="000C1FB5"/>
    <w:rsid w:val="000D34F2"/>
    <w:rsid w:val="00104788"/>
    <w:rsid w:val="001051CD"/>
    <w:rsid w:val="00111F95"/>
    <w:rsid w:val="00112A61"/>
    <w:rsid w:val="00122627"/>
    <w:rsid w:val="00132CE1"/>
    <w:rsid w:val="00133039"/>
    <w:rsid w:val="00147C8A"/>
    <w:rsid w:val="0015691E"/>
    <w:rsid w:val="00157A46"/>
    <w:rsid w:val="00171C60"/>
    <w:rsid w:val="001728C6"/>
    <w:rsid w:val="001824D7"/>
    <w:rsid w:val="00184E27"/>
    <w:rsid w:val="0019240C"/>
    <w:rsid w:val="001A2FBB"/>
    <w:rsid w:val="001B3CA3"/>
    <w:rsid w:val="001B6CD5"/>
    <w:rsid w:val="001D70F4"/>
    <w:rsid w:val="001F3808"/>
    <w:rsid w:val="00201466"/>
    <w:rsid w:val="00203D33"/>
    <w:rsid w:val="002126BC"/>
    <w:rsid w:val="00213765"/>
    <w:rsid w:val="0022225B"/>
    <w:rsid w:val="00226BAC"/>
    <w:rsid w:val="00227289"/>
    <w:rsid w:val="0023364D"/>
    <w:rsid w:val="00233FAD"/>
    <w:rsid w:val="0024084F"/>
    <w:rsid w:val="002423DB"/>
    <w:rsid w:val="0024601D"/>
    <w:rsid w:val="00247864"/>
    <w:rsid w:val="00256FD2"/>
    <w:rsid w:val="00263146"/>
    <w:rsid w:val="002927CD"/>
    <w:rsid w:val="002A37C8"/>
    <w:rsid w:val="002A41F8"/>
    <w:rsid w:val="002A4227"/>
    <w:rsid w:val="002A64A3"/>
    <w:rsid w:val="002A7AB0"/>
    <w:rsid w:val="002B2048"/>
    <w:rsid w:val="002B5CE6"/>
    <w:rsid w:val="002C6152"/>
    <w:rsid w:val="002D48DA"/>
    <w:rsid w:val="002E193E"/>
    <w:rsid w:val="002E2377"/>
    <w:rsid w:val="002E67A5"/>
    <w:rsid w:val="002F018D"/>
    <w:rsid w:val="002F2929"/>
    <w:rsid w:val="002F38F1"/>
    <w:rsid w:val="002F6E52"/>
    <w:rsid w:val="00301B35"/>
    <w:rsid w:val="00304D4B"/>
    <w:rsid w:val="00304FBB"/>
    <w:rsid w:val="00323A26"/>
    <w:rsid w:val="003321F7"/>
    <w:rsid w:val="00334CF5"/>
    <w:rsid w:val="0033621E"/>
    <w:rsid w:val="00346456"/>
    <w:rsid w:val="0035734D"/>
    <w:rsid w:val="00363868"/>
    <w:rsid w:val="00382520"/>
    <w:rsid w:val="0039427B"/>
    <w:rsid w:val="003A00DC"/>
    <w:rsid w:val="003A2208"/>
    <w:rsid w:val="003A436B"/>
    <w:rsid w:val="003B4D1C"/>
    <w:rsid w:val="003B6E02"/>
    <w:rsid w:val="003C3A02"/>
    <w:rsid w:val="003C7A0A"/>
    <w:rsid w:val="003D296D"/>
    <w:rsid w:val="003D2F87"/>
    <w:rsid w:val="003E4A4A"/>
    <w:rsid w:val="003E5377"/>
    <w:rsid w:val="003E6127"/>
    <w:rsid w:val="003F0C58"/>
    <w:rsid w:val="003F35E9"/>
    <w:rsid w:val="00437E63"/>
    <w:rsid w:val="004415BD"/>
    <w:rsid w:val="00450F95"/>
    <w:rsid w:val="0046505A"/>
    <w:rsid w:val="00466498"/>
    <w:rsid w:val="00475AEC"/>
    <w:rsid w:val="00480643"/>
    <w:rsid w:val="004856F2"/>
    <w:rsid w:val="0048680E"/>
    <w:rsid w:val="00487B9C"/>
    <w:rsid w:val="00495F46"/>
    <w:rsid w:val="00497519"/>
    <w:rsid w:val="004A0FB9"/>
    <w:rsid w:val="004B1514"/>
    <w:rsid w:val="004B311D"/>
    <w:rsid w:val="004C14F2"/>
    <w:rsid w:val="004C5FE0"/>
    <w:rsid w:val="004D0DE8"/>
    <w:rsid w:val="004D67B0"/>
    <w:rsid w:val="004E537D"/>
    <w:rsid w:val="004F26EE"/>
    <w:rsid w:val="004F60D4"/>
    <w:rsid w:val="0051057D"/>
    <w:rsid w:val="00512637"/>
    <w:rsid w:val="005330A5"/>
    <w:rsid w:val="00533695"/>
    <w:rsid w:val="00537177"/>
    <w:rsid w:val="005378A5"/>
    <w:rsid w:val="00542363"/>
    <w:rsid w:val="0055618C"/>
    <w:rsid w:val="00561F1D"/>
    <w:rsid w:val="00563819"/>
    <w:rsid w:val="00564C1C"/>
    <w:rsid w:val="00573015"/>
    <w:rsid w:val="00580E41"/>
    <w:rsid w:val="00582646"/>
    <w:rsid w:val="00583F24"/>
    <w:rsid w:val="005863FA"/>
    <w:rsid w:val="00593391"/>
    <w:rsid w:val="005A20D8"/>
    <w:rsid w:val="005A757A"/>
    <w:rsid w:val="005B054C"/>
    <w:rsid w:val="005B5C28"/>
    <w:rsid w:val="005C4B7E"/>
    <w:rsid w:val="005D5B98"/>
    <w:rsid w:val="005F5165"/>
    <w:rsid w:val="005F6D5A"/>
    <w:rsid w:val="006043ED"/>
    <w:rsid w:val="00607DD6"/>
    <w:rsid w:val="00614A2F"/>
    <w:rsid w:val="00617D1A"/>
    <w:rsid w:val="00626005"/>
    <w:rsid w:val="00627093"/>
    <w:rsid w:val="0063256C"/>
    <w:rsid w:val="00634AE6"/>
    <w:rsid w:val="006435D9"/>
    <w:rsid w:val="006534B0"/>
    <w:rsid w:val="00662184"/>
    <w:rsid w:val="006642ED"/>
    <w:rsid w:val="0066478F"/>
    <w:rsid w:val="00671E0E"/>
    <w:rsid w:val="006722EE"/>
    <w:rsid w:val="00673655"/>
    <w:rsid w:val="00686FA3"/>
    <w:rsid w:val="0068715D"/>
    <w:rsid w:val="00687D14"/>
    <w:rsid w:val="006A227C"/>
    <w:rsid w:val="006B2412"/>
    <w:rsid w:val="006B33F3"/>
    <w:rsid w:val="006C1F89"/>
    <w:rsid w:val="006D131A"/>
    <w:rsid w:val="006E3D44"/>
    <w:rsid w:val="006E6BA0"/>
    <w:rsid w:val="006F1DC6"/>
    <w:rsid w:val="00704D01"/>
    <w:rsid w:val="00725D3E"/>
    <w:rsid w:val="00727397"/>
    <w:rsid w:val="00727EFE"/>
    <w:rsid w:val="00735BF4"/>
    <w:rsid w:val="00736CC3"/>
    <w:rsid w:val="007435B4"/>
    <w:rsid w:val="00744868"/>
    <w:rsid w:val="0075052A"/>
    <w:rsid w:val="00776FE8"/>
    <w:rsid w:val="007801A8"/>
    <w:rsid w:val="00782908"/>
    <w:rsid w:val="00786813"/>
    <w:rsid w:val="00796404"/>
    <w:rsid w:val="00796EAD"/>
    <w:rsid w:val="007A2839"/>
    <w:rsid w:val="007A29C8"/>
    <w:rsid w:val="007B4F82"/>
    <w:rsid w:val="007C2100"/>
    <w:rsid w:val="007C21B4"/>
    <w:rsid w:val="007C7ACF"/>
    <w:rsid w:val="007D2A1F"/>
    <w:rsid w:val="007D6454"/>
    <w:rsid w:val="007E0409"/>
    <w:rsid w:val="007E47E2"/>
    <w:rsid w:val="007E4D9D"/>
    <w:rsid w:val="007E554D"/>
    <w:rsid w:val="007E75C8"/>
    <w:rsid w:val="007F28AA"/>
    <w:rsid w:val="007F6349"/>
    <w:rsid w:val="00800825"/>
    <w:rsid w:val="0080111F"/>
    <w:rsid w:val="00801765"/>
    <w:rsid w:val="008021A4"/>
    <w:rsid w:val="00804B9C"/>
    <w:rsid w:val="00812A5A"/>
    <w:rsid w:val="00817DE5"/>
    <w:rsid w:val="0082582D"/>
    <w:rsid w:val="00826A93"/>
    <w:rsid w:val="00827FD1"/>
    <w:rsid w:val="00830907"/>
    <w:rsid w:val="00835C0C"/>
    <w:rsid w:val="00835D42"/>
    <w:rsid w:val="00837B9F"/>
    <w:rsid w:val="0084226C"/>
    <w:rsid w:val="0086343B"/>
    <w:rsid w:val="00867F92"/>
    <w:rsid w:val="0087094D"/>
    <w:rsid w:val="00870B72"/>
    <w:rsid w:val="00871ADA"/>
    <w:rsid w:val="008745F8"/>
    <w:rsid w:val="0089495E"/>
    <w:rsid w:val="00894FC8"/>
    <w:rsid w:val="008B44A2"/>
    <w:rsid w:val="008C07BB"/>
    <w:rsid w:val="008C1222"/>
    <w:rsid w:val="008D05BC"/>
    <w:rsid w:val="008D2B15"/>
    <w:rsid w:val="008D5B72"/>
    <w:rsid w:val="008D745E"/>
    <w:rsid w:val="008E7DEE"/>
    <w:rsid w:val="008F712A"/>
    <w:rsid w:val="00900442"/>
    <w:rsid w:val="00902310"/>
    <w:rsid w:val="009118D9"/>
    <w:rsid w:val="00920018"/>
    <w:rsid w:val="00920E8C"/>
    <w:rsid w:val="00927646"/>
    <w:rsid w:val="00940C5E"/>
    <w:rsid w:val="00942FCE"/>
    <w:rsid w:val="00943510"/>
    <w:rsid w:val="0094639E"/>
    <w:rsid w:val="00946E00"/>
    <w:rsid w:val="00954603"/>
    <w:rsid w:val="0095496F"/>
    <w:rsid w:val="00972790"/>
    <w:rsid w:val="00973F89"/>
    <w:rsid w:val="00977534"/>
    <w:rsid w:val="00981606"/>
    <w:rsid w:val="009A0C9F"/>
    <w:rsid w:val="009A1737"/>
    <w:rsid w:val="009A27A6"/>
    <w:rsid w:val="009A392E"/>
    <w:rsid w:val="009A4C1B"/>
    <w:rsid w:val="009B7035"/>
    <w:rsid w:val="009C44F9"/>
    <w:rsid w:val="009C757F"/>
    <w:rsid w:val="009D2A89"/>
    <w:rsid w:val="009D47E0"/>
    <w:rsid w:val="009D4E10"/>
    <w:rsid w:val="009D67E7"/>
    <w:rsid w:val="009E276F"/>
    <w:rsid w:val="009F2C32"/>
    <w:rsid w:val="009F6086"/>
    <w:rsid w:val="00A078E2"/>
    <w:rsid w:val="00A12D49"/>
    <w:rsid w:val="00A46BBE"/>
    <w:rsid w:val="00A473E9"/>
    <w:rsid w:val="00A536F2"/>
    <w:rsid w:val="00A71E3C"/>
    <w:rsid w:val="00A74945"/>
    <w:rsid w:val="00A75418"/>
    <w:rsid w:val="00A7700A"/>
    <w:rsid w:val="00A87EA4"/>
    <w:rsid w:val="00AA24C4"/>
    <w:rsid w:val="00AA3D0C"/>
    <w:rsid w:val="00AA5249"/>
    <w:rsid w:val="00AB28CE"/>
    <w:rsid w:val="00AB5DCF"/>
    <w:rsid w:val="00AC0C94"/>
    <w:rsid w:val="00AC4C1D"/>
    <w:rsid w:val="00AD21C2"/>
    <w:rsid w:val="00AD43FE"/>
    <w:rsid w:val="00AE54B7"/>
    <w:rsid w:val="00AF0FDC"/>
    <w:rsid w:val="00AF776F"/>
    <w:rsid w:val="00B00E39"/>
    <w:rsid w:val="00B07D93"/>
    <w:rsid w:val="00B24FD3"/>
    <w:rsid w:val="00B30149"/>
    <w:rsid w:val="00B3330E"/>
    <w:rsid w:val="00B34419"/>
    <w:rsid w:val="00B35CFD"/>
    <w:rsid w:val="00B702A5"/>
    <w:rsid w:val="00B709B0"/>
    <w:rsid w:val="00B7321A"/>
    <w:rsid w:val="00B77381"/>
    <w:rsid w:val="00B82C93"/>
    <w:rsid w:val="00B83CD7"/>
    <w:rsid w:val="00B90EA1"/>
    <w:rsid w:val="00BA3FBD"/>
    <w:rsid w:val="00BB4C70"/>
    <w:rsid w:val="00BB7DAA"/>
    <w:rsid w:val="00BC2E41"/>
    <w:rsid w:val="00BC423E"/>
    <w:rsid w:val="00BE3C6C"/>
    <w:rsid w:val="00BE70A7"/>
    <w:rsid w:val="00BF67A6"/>
    <w:rsid w:val="00C10F87"/>
    <w:rsid w:val="00C2574C"/>
    <w:rsid w:val="00C265A6"/>
    <w:rsid w:val="00C4236D"/>
    <w:rsid w:val="00C50235"/>
    <w:rsid w:val="00C5516D"/>
    <w:rsid w:val="00C56838"/>
    <w:rsid w:val="00C57BC2"/>
    <w:rsid w:val="00C6144F"/>
    <w:rsid w:val="00C67C77"/>
    <w:rsid w:val="00C75E2F"/>
    <w:rsid w:val="00C82CD8"/>
    <w:rsid w:val="00C82F43"/>
    <w:rsid w:val="00C84B18"/>
    <w:rsid w:val="00C860F7"/>
    <w:rsid w:val="00C86235"/>
    <w:rsid w:val="00C908F9"/>
    <w:rsid w:val="00C92E2A"/>
    <w:rsid w:val="00C92EF2"/>
    <w:rsid w:val="00C95808"/>
    <w:rsid w:val="00CA17B0"/>
    <w:rsid w:val="00CA42DF"/>
    <w:rsid w:val="00CB057A"/>
    <w:rsid w:val="00CB11CD"/>
    <w:rsid w:val="00CB6A83"/>
    <w:rsid w:val="00CC4611"/>
    <w:rsid w:val="00CC6037"/>
    <w:rsid w:val="00CD0ABE"/>
    <w:rsid w:val="00CD1E78"/>
    <w:rsid w:val="00CE2AD5"/>
    <w:rsid w:val="00CF6023"/>
    <w:rsid w:val="00D02EAB"/>
    <w:rsid w:val="00D12B1B"/>
    <w:rsid w:val="00D12C96"/>
    <w:rsid w:val="00D3464F"/>
    <w:rsid w:val="00D358C5"/>
    <w:rsid w:val="00D37681"/>
    <w:rsid w:val="00D43851"/>
    <w:rsid w:val="00D43CB6"/>
    <w:rsid w:val="00D60148"/>
    <w:rsid w:val="00D616D2"/>
    <w:rsid w:val="00D70090"/>
    <w:rsid w:val="00D80AF2"/>
    <w:rsid w:val="00D82270"/>
    <w:rsid w:val="00D82569"/>
    <w:rsid w:val="00D86F81"/>
    <w:rsid w:val="00D93E15"/>
    <w:rsid w:val="00D94B5F"/>
    <w:rsid w:val="00DA4EC4"/>
    <w:rsid w:val="00DB08A4"/>
    <w:rsid w:val="00DC57FE"/>
    <w:rsid w:val="00DD030C"/>
    <w:rsid w:val="00DD1927"/>
    <w:rsid w:val="00DD32B7"/>
    <w:rsid w:val="00DE7AAD"/>
    <w:rsid w:val="00DF01E7"/>
    <w:rsid w:val="00DF255D"/>
    <w:rsid w:val="00DF569A"/>
    <w:rsid w:val="00DF75CF"/>
    <w:rsid w:val="00E05D1E"/>
    <w:rsid w:val="00E05DFB"/>
    <w:rsid w:val="00E11026"/>
    <w:rsid w:val="00E23EA3"/>
    <w:rsid w:val="00E41CAE"/>
    <w:rsid w:val="00E44183"/>
    <w:rsid w:val="00E47DD2"/>
    <w:rsid w:val="00E50AAF"/>
    <w:rsid w:val="00E61A13"/>
    <w:rsid w:val="00E65488"/>
    <w:rsid w:val="00E76BF9"/>
    <w:rsid w:val="00EA0756"/>
    <w:rsid w:val="00EA0D55"/>
    <w:rsid w:val="00EA1922"/>
    <w:rsid w:val="00EA378E"/>
    <w:rsid w:val="00EA42C2"/>
    <w:rsid w:val="00EA7C21"/>
    <w:rsid w:val="00EC7C12"/>
    <w:rsid w:val="00EF1BF1"/>
    <w:rsid w:val="00EF2223"/>
    <w:rsid w:val="00EF6DE4"/>
    <w:rsid w:val="00EF772E"/>
    <w:rsid w:val="00F03224"/>
    <w:rsid w:val="00F04692"/>
    <w:rsid w:val="00F10E78"/>
    <w:rsid w:val="00F2210F"/>
    <w:rsid w:val="00F27B12"/>
    <w:rsid w:val="00F31154"/>
    <w:rsid w:val="00F412B9"/>
    <w:rsid w:val="00F412BD"/>
    <w:rsid w:val="00F453BF"/>
    <w:rsid w:val="00F47858"/>
    <w:rsid w:val="00F503FB"/>
    <w:rsid w:val="00F51FED"/>
    <w:rsid w:val="00F60757"/>
    <w:rsid w:val="00F65FDD"/>
    <w:rsid w:val="00F718E5"/>
    <w:rsid w:val="00F7610D"/>
    <w:rsid w:val="00F765FA"/>
    <w:rsid w:val="00F84D74"/>
    <w:rsid w:val="00F91EF0"/>
    <w:rsid w:val="00F959E6"/>
    <w:rsid w:val="00F95F7A"/>
    <w:rsid w:val="00FB04E0"/>
    <w:rsid w:val="00FB42F8"/>
    <w:rsid w:val="00FD5844"/>
    <w:rsid w:val="00FE4EC6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908F9"/>
    <w:pPr>
      <w:widowControl w:val="0"/>
      <w:spacing w:line="360" w:lineRule="atLeast"/>
      <w:jc w:val="both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A42C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EA42C2"/>
    <w:rPr>
      <w:sz w:val="24"/>
      <w:szCs w:val="24"/>
    </w:rPr>
  </w:style>
  <w:style w:type="paragraph" w:styleId="Fuzeile">
    <w:name w:val="footer"/>
    <w:basedOn w:val="Standard"/>
    <w:link w:val="FuzeileZchn"/>
    <w:rsid w:val="00EA42C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EA42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908F9"/>
    <w:pPr>
      <w:widowControl w:val="0"/>
      <w:spacing w:line="360" w:lineRule="atLeast"/>
      <w:jc w:val="both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A42C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EA42C2"/>
    <w:rPr>
      <w:sz w:val="24"/>
      <w:szCs w:val="24"/>
    </w:rPr>
  </w:style>
  <w:style w:type="paragraph" w:styleId="Fuzeile">
    <w:name w:val="footer"/>
    <w:basedOn w:val="Standard"/>
    <w:link w:val="FuzeileZchn"/>
    <w:rsid w:val="00EA42C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EA42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Bezzenberger</dc:creator>
  <cp:lastModifiedBy>Bezzenberger</cp:lastModifiedBy>
  <cp:revision>3</cp:revision>
  <cp:lastPrinted>2020-09-17T10:56:00Z</cp:lastPrinted>
  <dcterms:created xsi:type="dcterms:W3CDTF">2020-09-17T10:41:00Z</dcterms:created>
  <dcterms:modified xsi:type="dcterms:W3CDTF">2020-09-17T10:58:00Z</dcterms:modified>
</cp:coreProperties>
</file>